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EC3A" w14:textId="77777777" w:rsidR="00B7519E" w:rsidRDefault="007B3CF2" w:rsidP="00B7519E">
      <w:pPr>
        <w:pBdr>
          <w:top w:val="single" w:sz="8" w:space="0" w:color="253D0E"/>
          <w:left w:val="single" w:sz="8" w:space="0" w:color="253D0E"/>
          <w:bottom w:val="single" w:sz="8" w:space="0" w:color="253D0E"/>
          <w:right w:val="single" w:sz="8" w:space="0" w:color="253D0E"/>
        </w:pBdr>
        <w:shd w:val="clear" w:color="auto" w:fill="AC3D00"/>
        <w:tabs>
          <w:tab w:val="center" w:pos="4101"/>
        </w:tabs>
        <w:spacing w:after="0" w:line="240" w:lineRule="auto"/>
        <w:ind w:left="0" w:right="-67" w:firstLine="0"/>
        <w:rPr>
          <w:rFonts w:asciiTheme="majorHAnsi" w:hAnsiTheme="majorHAnsi" w:cstheme="majorHAnsi"/>
          <w:b/>
          <w:color w:val="FFFFFF"/>
          <w:sz w:val="20"/>
          <w:szCs w:val="20"/>
        </w:rPr>
      </w:pPr>
      <w:r w:rsidRPr="00B7519E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1009C1D" wp14:editId="7F71C14C">
            <wp:extent cx="6861049" cy="1234440"/>
            <wp:effectExtent l="0" t="0" r="0" b="0"/>
            <wp:docPr id="4645" name="Picture 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" name="Picture 4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104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19E">
        <w:rPr>
          <w:rFonts w:asciiTheme="majorHAnsi" w:hAnsiTheme="majorHAnsi" w:cstheme="majorHAnsi"/>
          <w:b/>
          <w:color w:val="FFFFFF"/>
          <w:sz w:val="20"/>
          <w:szCs w:val="20"/>
        </w:rPr>
        <w:t xml:space="preserve">    </w:t>
      </w:r>
    </w:p>
    <w:p w14:paraId="6B987CAC" w14:textId="51DF9C08" w:rsidR="00BC1E2A" w:rsidRPr="00B7519E" w:rsidRDefault="00B7519E" w:rsidP="00B7519E">
      <w:pPr>
        <w:pBdr>
          <w:top w:val="single" w:sz="8" w:space="0" w:color="253D0E"/>
          <w:left w:val="single" w:sz="8" w:space="0" w:color="253D0E"/>
          <w:bottom w:val="single" w:sz="8" w:space="0" w:color="253D0E"/>
          <w:right w:val="single" w:sz="8" w:space="0" w:color="253D0E"/>
        </w:pBdr>
        <w:shd w:val="clear" w:color="auto" w:fill="AC3D00"/>
        <w:tabs>
          <w:tab w:val="center" w:pos="4101"/>
        </w:tabs>
        <w:spacing w:after="0" w:line="240" w:lineRule="auto"/>
        <w:ind w:left="0" w:right="-67" w:firstLine="0"/>
        <w:rPr>
          <w:rFonts w:asciiTheme="majorHAnsi" w:eastAsia="Arial" w:hAnsiTheme="majorHAnsi" w:cstheme="majorHAnsi"/>
          <w:b/>
          <w:color w:val="FFFFF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color w:val="FFFFFF"/>
          <w:sz w:val="20"/>
          <w:szCs w:val="20"/>
        </w:rPr>
        <w:t xml:space="preserve">     </w:t>
      </w:r>
      <w:r w:rsidR="007B3CF2" w:rsidRPr="00B7519E">
        <w:rPr>
          <w:rFonts w:asciiTheme="majorHAnsi" w:hAnsiTheme="majorHAnsi" w:cstheme="majorHAnsi"/>
          <w:b/>
          <w:color w:val="FFFFFF"/>
          <w:sz w:val="20"/>
          <w:szCs w:val="20"/>
        </w:rPr>
        <w:t>Medical Anatomy &amp; Physiology</w:t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</w:r>
      <w:r>
        <w:rPr>
          <w:rFonts w:asciiTheme="majorHAnsi" w:hAnsiTheme="majorHAnsi" w:cstheme="majorHAnsi"/>
          <w:b/>
          <w:color w:val="FFFFFF"/>
          <w:sz w:val="20"/>
          <w:szCs w:val="20"/>
        </w:rPr>
        <w:tab/>
        <w:t xml:space="preserve">       2021/2022</w:t>
      </w:r>
    </w:p>
    <w:p w14:paraId="47C9490F" w14:textId="77777777" w:rsidR="00B7519E" w:rsidRDefault="00B7519E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53F3CC04" w14:textId="0A71B8C0" w:rsidR="00BC1E2A" w:rsidRPr="00B7519E" w:rsidRDefault="007B3CF2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>Contact Information</w:t>
      </w:r>
      <w:r w:rsidRPr="00B7519E">
        <w:rPr>
          <w:rFonts w:ascii="MS Gothic" w:eastAsia="MS Gothic" w:hAnsi="MS Gothic" w:cs="MS Gothic" w:hint="eastAsia"/>
          <w:sz w:val="20"/>
          <w:szCs w:val="20"/>
        </w:rPr>
        <w:t> </w:t>
      </w:r>
    </w:p>
    <w:tbl>
      <w:tblPr>
        <w:tblStyle w:val="TableGrid"/>
        <w:tblW w:w="106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1870"/>
        <w:gridCol w:w="3066"/>
      </w:tblGrid>
      <w:tr w:rsidR="00B7519E" w:rsidRPr="00B7519E" w14:paraId="75D7537F" w14:textId="77777777" w:rsidTr="007B4050">
        <w:trPr>
          <w:trHeight w:val="658"/>
        </w:trPr>
        <w:tc>
          <w:tcPr>
            <w:tcW w:w="5680" w:type="dxa"/>
          </w:tcPr>
          <w:p w14:paraId="4AE6A745" w14:textId="347DE65F" w:rsidR="00B7519E" w:rsidRPr="00B7519E" w:rsidRDefault="00B7519E" w:rsidP="00B7519E">
            <w:pPr>
              <w:tabs>
                <w:tab w:val="center" w:pos="1633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Elizabeth Moretz </w:t>
            </w:r>
          </w:p>
          <w:p w14:paraId="0DABD889" w14:textId="77777777" w:rsidR="00B7519E" w:rsidRPr="00B7519E" w:rsidRDefault="00B7519E" w:rsidP="00B7519E">
            <w:pPr>
              <w:tabs>
                <w:tab w:val="center" w:pos="1327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Room 1201 </w:t>
            </w:r>
          </w:p>
        </w:tc>
        <w:tc>
          <w:tcPr>
            <w:tcW w:w="1870" w:type="dxa"/>
          </w:tcPr>
          <w:p w14:paraId="149ECAC7" w14:textId="1AF3C9D2" w:rsidR="00B7519E" w:rsidRPr="00B7519E" w:rsidRDefault="00B7519E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4050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</w:p>
          <w:p w14:paraId="2AD5E0F4" w14:textId="77777777" w:rsidR="00B7519E" w:rsidRPr="00B7519E" w:rsidRDefault="00B7519E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</w:tcPr>
          <w:p w14:paraId="7F5ED161" w14:textId="59889817" w:rsidR="00B7519E" w:rsidRPr="005A7DA7" w:rsidRDefault="00B7519E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5A7DA7">
              <w:rPr>
                <w:rFonts w:asciiTheme="majorHAnsi" w:hAnsiTheme="majorHAnsi" w:cstheme="majorHAnsi"/>
                <w:color w:val="011EA9"/>
                <w:sz w:val="20"/>
                <w:szCs w:val="20"/>
                <w:u w:val="single" w:color="011EA9"/>
              </w:rPr>
              <w:t>Elizabeth.Moretz@slcschools.org</w:t>
            </w:r>
            <w:r w:rsidRPr="005A7DA7">
              <w:rPr>
                <w:rFonts w:ascii="MS Gothic" w:eastAsia="MS Gothic" w:hAnsi="MS Gothic" w:cs="MS Gothic" w:hint="eastAsia"/>
                <w:sz w:val="20"/>
                <w:szCs w:val="20"/>
              </w:rPr>
              <w:t> </w:t>
            </w:r>
          </w:p>
          <w:p w14:paraId="7918CDFC" w14:textId="73938413" w:rsidR="00B7519E" w:rsidRPr="00B7519E" w:rsidRDefault="00B7519E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color w:val="011EA9"/>
                <w:sz w:val="20"/>
                <w:szCs w:val="20"/>
                <w:u w:val="single" w:color="011EA9"/>
              </w:rPr>
            </w:pP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>Google Voice: (385)323-0775</w:t>
            </w:r>
          </w:p>
        </w:tc>
      </w:tr>
    </w:tbl>
    <w:p w14:paraId="60AB27FF" w14:textId="77777777" w:rsidR="00BC1E2A" w:rsidRPr="00B7519E" w:rsidRDefault="007B3CF2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Course Description </w:t>
      </w:r>
    </w:p>
    <w:p w14:paraId="3025F3DC" w14:textId="3EEC736F" w:rsidR="005A153E" w:rsidRPr="00B7519E" w:rsidRDefault="007B3CF2" w:rsidP="00F721C2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Medical Anatomy and Physiology (MAP) considers the interrelationships between structure of the human body, the function of these structures, </w:t>
      </w:r>
      <w:r w:rsidRPr="00B7519E">
        <w:rPr>
          <w:rFonts w:asciiTheme="majorHAnsi" w:hAnsiTheme="majorHAnsi" w:cstheme="majorHAnsi"/>
          <w:sz w:val="20"/>
          <w:szCs w:val="20"/>
        </w:rPr>
        <w:t>and the biological processes that are essential for proper function of the human body.</w:t>
      </w:r>
      <w:r w:rsidR="00F721C2">
        <w:rPr>
          <w:rFonts w:asciiTheme="majorHAnsi" w:hAnsiTheme="majorHAnsi" w:cstheme="majorHAnsi"/>
          <w:sz w:val="20"/>
          <w:szCs w:val="20"/>
        </w:rPr>
        <w:t xml:space="preserve">  This course will provide students with an in-depth instruction of anatomy, physiology, medical terminology, diseases and disorders, medical ethics, and first aid.  </w:t>
      </w:r>
      <w:r w:rsidRPr="00B7519E">
        <w:rPr>
          <w:rFonts w:asciiTheme="majorHAnsi" w:hAnsiTheme="majorHAnsi" w:cstheme="majorHAnsi"/>
          <w:sz w:val="20"/>
          <w:szCs w:val="20"/>
        </w:rPr>
        <w:t xml:space="preserve">  Students will participate </w:t>
      </w:r>
      <w:r w:rsidRPr="00B7519E">
        <w:rPr>
          <w:rFonts w:asciiTheme="majorHAnsi" w:hAnsiTheme="majorHAnsi" w:cstheme="majorHAnsi"/>
          <w:sz w:val="20"/>
          <w:szCs w:val="20"/>
        </w:rPr>
        <w:t>in a variety of lab activities and dissections</w:t>
      </w:r>
      <w:r w:rsidR="00F721C2">
        <w:rPr>
          <w:rFonts w:asciiTheme="majorHAnsi" w:hAnsiTheme="majorHAnsi" w:cstheme="majorHAnsi"/>
          <w:sz w:val="20"/>
          <w:szCs w:val="20"/>
        </w:rPr>
        <w:t>, field trips, class discussions, projects, and readings</w:t>
      </w:r>
      <w:r w:rsidRPr="00B7519E">
        <w:rPr>
          <w:rFonts w:asciiTheme="majorHAnsi" w:hAnsiTheme="majorHAnsi" w:cstheme="majorHAnsi"/>
          <w:sz w:val="20"/>
          <w:szCs w:val="20"/>
        </w:rPr>
        <w:t xml:space="preserve"> to provide a hands-on, student-centered, active learning experience.   </w:t>
      </w:r>
      <w:r w:rsidRPr="00B7519E">
        <w:rPr>
          <w:rFonts w:asciiTheme="majorHAnsi" w:hAnsiTheme="majorHAnsi" w:cstheme="majorHAnsi"/>
          <w:sz w:val="20"/>
          <w:szCs w:val="20"/>
        </w:rPr>
        <w:t xml:space="preserve">This </w:t>
      </w:r>
      <w:r w:rsidR="00F721C2">
        <w:rPr>
          <w:rFonts w:asciiTheme="majorHAnsi" w:hAnsiTheme="majorHAnsi" w:cstheme="majorHAnsi"/>
          <w:sz w:val="20"/>
          <w:szCs w:val="20"/>
        </w:rPr>
        <w:t>class is designed to prepare students for advanced health science courses and health technology programs.</w:t>
      </w:r>
    </w:p>
    <w:p w14:paraId="5C39F5FF" w14:textId="77777777" w:rsidR="0099378A" w:rsidRDefault="0099378A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7877C66F" w14:textId="588AB476" w:rsidR="00BC1E2A" w:rsidRPr="00B7519E" w:rsidRDefault="007B3CF2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Learning Objectives </w:t>
      </w:r>
    </w:p>
    <w:p w14:paraId="26047E3F" w14:textId="77777777" w:rsidR="00BC1E2A" w:rsidRPr="00B7519E" w:rsidRDefault="007B3CF2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Recognize and discuss human anatomical structures and their corresponding functions. </w:t>
      </w:r>
    </w:p>
    <w:p w14:paraId="156BFC59" w14:textId="11DDE649" w:rsidR="00BC1E2A" w:rsidRDefault="007B3CF2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>Understand physiologica</w:t>
      </w:r>
      <w:r w:rsidRPr="00B7519E">
        <w:rPr>
          <w:rFonts w:asciiTheme="majorHAnsi" w:hAnsiTheme="majorHAnsi" w:cstheme="majorHAnsi"/>
          <w:sz w:val="20"/>
          <w:szCs w:val="20"/>
        </w:rPr>
        <w:t xml:space="preserve">l processes and their importance in maintaining a healthy organism. </w:t>
      </w:r>
    </w:p>
    <w:p w14:paraId="08D846AE" w14:textId="0CF58CDC" w:rsidR="008D68E8" w:rsidRPr="00B7519E" w:rsidRDefault="008D68E8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Apply understanding of anatomical structures and physiological processes to notable diseases and disorders.</w:t>
      </w:r>
    </w:p>
    <w:p w14:paraId="6ABCA46B" w14:textId="77777777" w:rsidR="00BC1E2A" w:rsidRPr="00B7519E" w:rsidRDefault="007B3CF2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Develop connections between anatomical structures, physiological processes, and the maintenance of homeostasis. </w:t>
      </w:r>
    </w:p>
    <w:p w14:paraId="61FC7EA7" w14:textId="77777777" w:rsidR="00BC1E2A" w:rsidRPr="00B7519E" w:rsidRDefault="007B3CF2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Integrate appropriate terminology and apply rigorous scientific processes </w:t>
      </w:r>
      <w:r w:rsidRPr="00B7519E">
        <w:rPr>
          <w:rFonts w:asciiTheme="majorHAnsi" w:hAnsiTheme="majorHAnsi" w:cstheme="majorHAnsi"/>
          <w:sz w:val="20"/>
          <w:szCs w:val="20"/>
        </w:rPr>
        <w:t xml:space="preserve">to evaluate and discuss real-world applications of medical issues. </w:t>
      </w:r>
    </w:p>
    <w:p w14:paraId="2E93A815" w14:textId="77777777" w:rsidR="00BC1E2A" w:rsidRPr="00B7519E" w:rsidRDefault="007B3CF2" w:rsidP="008D68E8">
      <w:pPr>
        <w:numPr>
          <w:ilvl w:val="0"/>
          <w:numId w:val="5"/>
        </w:num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Demonstrate effective laboratory skills in evaluating anatomical structures and physiological processes.  </w:t>
      </w:r>
    </w:p>
    <w:p w14:paraId="4C63F019" w14:textId="77777777" w:rsidR="008D68E8" w:rsidRPr="008D68E8" w:rsidRDefault="008D68E8" w:rsidP="008D68E8">
      <w:pPr>
        <w:ind w:left="0" w:firstLine="0"/>
      </w:pPr>
    </w:p>
    <w:p w14:paraId="71A3F82E" w14:textId="369F1D64" w:rsidR="00BC1E2A" w:rsidRPr="00B7519E" w:rsidRDefault="007B3CF2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>Materials</w:t>
      </w:r>
      <w:r w:rsidRPr="00B7519E">
        <w:rPr>
          <w:rFonts w:ascii="MS Gothic" w:eastAsia="MS Gothic" w:hAnsi="MS Gothic" w:cs="MS Gothic" w:hint="eastAsia"/>
          <w:sz w:val="20"/>
          <w:szCs w:val="20"/>
        </w:rPr>
        <w:t> </w:t>
      </w:r>
    </w:p>
    <w:tbl>
      <w:tblPr>
        <w:tblStyle w:val="TableGrid"/>
        <w:tblpPr w:vertAnchor="page" w:horzAnchor="margin" w:tblpY="9163"/>
        <w:tblOverlap w:val="never"/>
        <w:tblW w:w="91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3496"/>
      </w:tblGrid>
      <w:tr w:rsidR="008D68E8" w:rsidRPr="00B7519E" w14:paraId="1D56AFC5" w14:textId="77777777" w:rsidTr="008D68E8">
        <w:trPr>
          <w:trHeight w:val="79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139EC71A" w14:textId="77777777" w:rsidR="008D68E8" w:rsidRPr="00B7519E" w:rsidRDefault="008D68E8" w:rsidP="008D68E8">
            <w:pPr>
              <w:numPr>
                <w:ilvl w:val="0"/>
                <w:numId w:val="3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Lab journal (provided by instructor) </w:t>
            </w:r>
          </w:p>
          <w:p w14:paraId="4D48E4AB" w14:textId="77777777" w:rsidR="008D68E8" w:rsidRPr="00B7519E" w:rsidRDefault="008D68E8" w:rsidP="008D68E8">
            <w:pPr>
              <w:numPr>
                <w:ilvl w:val="0"/>
                <w:numId w:val="3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Readings (provided by instructor)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0079651E" w14:textId="77777777" w:rsidR="008D68E8" w:rsidRPr="00B7519E" w:rsidRDefault="008D68E8" w:rsidP="008D68E8">
            <w:pPr>
              <w:numPr>
                <w:ilvl w:val="0"/>
                <w:numId w:val="4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Index cards </w:t>
            </w:r>
          </w:p>
          <w:p w14:paraId="4C28E014" w14:textId="77777777" w:rsidR="008D68E8" w:rsidRDefault="008D68E8" w:rsidP="008D68E8">
            <w:pPr>
              <w:numPr>
                <w:ilvl w:val="0"/>
                <w:numId w:val="4"/>
              </w:numPr>
              <w:spacing w:after="0" w:line="240" w:lineRule="auto"/>
              <w:ind w:hanging="253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Pen/pencil &amp; colored pencils </w:t>
            </w:r>
          </w:p>
          <w:p w14:paraId="5729313D" w14:textId="77777777" w:rsidR="008D68E8" w:rsidRPr="005A7DA7" w:rsidRDefault="008D68E8" w:rsidP="008D68E8">
            <w:pPr>
              <w:numPr>
                <w:ilvl w:val="0"/>
                <w:numId w:val="4"/>
              </w:numPr>
              <w:spacing w:after="0" w:line="240" w:lineRule="auto"/>
              <w:ind w:right="4" w:hanging="25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</w:t>
            </w: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 appropriate clothing (on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lab</w:t>
            </w:r>
            <w:r w:rsidRPr="005A7DA7">
              <w:rPr>
                <w:rFonts w:asciiTheme="majorHAnsi" w:hAnsiTheme="majorHAnsi" w:cstheme="majorHAnsi"/>
                <w:sz w:val="20"/>
                <w:szCs w:val="20"/>
              </w:rPr>
              <w:t xml:space="preserve"> days)</w:t>
            </w:r>
          </w:p>
          <w:p w14:paraId="6252CB86" w14:textId="77777777" w:rsidR="008D68E8" w:rsidRPr="00B7519E" w:rsidRDefault="008D68E8" w:rsidP="008D68E8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DD435B7" w14:textId="77777777" w:rsidR="0099378A" w:rsidRDefault="0099378A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79F06C14" w14:textId="77777777" w:rsidR="0099378A" w:rsidRDefault="0099378A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5F919B2C" w14:textId="77777777" w:rsidR="0099378A" w:rsidRDefault="0099378A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05C3824A" w14:textId="77777777" w:rsidR="0099378A" w:rsidRDefault="0099378A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65461385" w14:textId="77777777" w:rsidR="008D68E8" w:rsidRDefault="008D68E8" w:rsidP="00B7519E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5F6B9B2C" w14:textId="77777777" w:rsidR="008D68E8" w:rsidRDefault="008D68E8" w:rsidP="008D68E8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65A0E42C" w14:textId="45A82A4D" w:rsidR="00BC1E2A" w:rsidRPr="00B7519E" w:rsidRDefault="007B3CF2" w:rsidP="008D68E8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Course Work &amp; </w:t>
      </w:r>
      <w:r w:rsidRPr="00B7519E">
        <w:rPr>
          <w:rFonts w:asciiTheme="majorHAnsi" w:hAnsiTheme="majorHAnsi" w:cstheme="majorHAnsi"/>
          <w:sz w:val="20"/>
          <w:szCs w:val="20"/>
        </w:rPr>
        <w:t xml:space="preserve">Evaluations </w:t>
      </w:r>
    </w:p>
    <w:p w14:paraId="114A05ED" w14:textId="77777777" w:rsidR="0099378A" w:rsidRDefault="007B3CF2" w:rsidP="00B7519E">
      <w:pPr>
        <w:spacing w:after="0" w:line="240" w:lineRule="auto"/>
        <w:ind w:left="-5" w:right="478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Medical Anatomy &amp; Physiology will consist of a variety of activities.  Success in the class will be determined by successful participation and completion of the following: </w:t>
      </w:r>
    </w:p>
    <w:p w14:paraId="4C585E1C" w14:textId="0ED1DA7D" w:rsidR="00820751" w:rsidRDefault="00820751" w:rsidP="00B7519E">
      <w:pPr>
        <w:spacing w:after="0" w:line="240" w:lineRule="auto"/>
        <w:ind w:left="-5" w:right="478"/>
        <w:rPr>
          <w:rFonts w:asciiTheme="majorHAnsi" w:hAnsiTheme="majorHAnsi" w:cstheme="majorHAnsi"/>
          <w:sz w:val="20"/>
          <w:szCs w:val="20"/>
        </w:rPr>
        <w:sectPr w:rsidR="00820751" w:rsidSect="0099378A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680" w:right="787" w:bottom="1206" w:left="720" w:header="720" w:footer="861" w:gutter="0"/>
          <w:cols w:space="720"/>
          <w:titlePg/>
          <w:docGrid w:linePitch="326"/>
        </w:sectPr>
      </w:pPr>
    </w:p>
    <w:p w14:paraId="795B1871" w14:textId="77777777" w:rsidR="00BC1E2A" w:rsidRPr="00B7519E" w:rsidRDefault="007B3CF2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Labs &amp; </w:t>
      </w:r>
      <w:proofErr w:type="gramStart"/>
      <w:r w:rsidRPr="00B7519E">
        <w:rPr>
          <w:rFonts w:asciiTheme="majorHAnsi" w:hAnsiTheme="majorHAnsi" w:cstheme="majorHAnsi"/>
          <w:sz w:val="20"/>
          <w:szCs w:val="20"/>
        </w:rPr>
        <w:t>activities  (</w:t>
      </w:r>
      <w:proofErr w:type="gramEnd"/>
      <w:r w:rsidRPr="00B7519E">
        <w:rPr>
          <w:rFonts w:asciiTheme="majorHAnsi" w:hAnsiTheme="majorHAnsi" w:cstheme="majorHAnsi"/>
          <w:sz w:val="20"/>
          <w:szCs w:val="20"/>
        </w:rPr>
        <w:t xml:space="preserve">including dissections) </w:t>
      </w:r>
    </w:p>
    <w:p w14:paraId="36C5A335" w14:textId="77777777" w:rsidR="00BC1E2A" w:rsidRPr="00B7519E" w:rsidRDefault="007B3CF2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Maintenance of lab journal </w:t>
      </w:r>
    </w:p>
    <w:p w14:paraId="606981C9" w14:textId="77777777" w:rsidR="00820751" w:rsidRPr="00B7519E" w:rsidRDefault="00820751" w:rsidP="00820751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Readings </w:t>
      </w:r>
    </w:p>
    <w:p w14:paraId="581105B6" w14:textId="03E38507" w:rsidR="00820751" w:rsidRDefault="00820751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Class discussions &amp; guest speakers</w:t>
      </w:r>
    </w:p>
    <w:p w14:paraId="57130158" w14:textId="23B7AA67" w:rsidR="00BC1E2A" w:rsidRPr="00B7519E" w:rsidRDefault="007B3CF2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Quizzes, tests, and lab practicals </w:t>
      </w:r>
    </w:p>
    <w:p w14:paraId="0F2765B0" w14:textId="77777777" w:rsidR="00BC1E2A" w:rsidRPr="00B7519E" w:rsidRDefault="007B3CF2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Projects </w:t>
      </w:r>
    </w:p>
    <w:p w14:paraId="7574C6CF" w14:textId="614DDEEA" w:rsidR="00BC1E2A" w:rsidRPr="009723F6" w:rsidRDefault="007B3CF2" w:rsidP="00B7519E">
      <w:pPr>
        <w:numPr>
          <w:ilvl w:val="0"/>
          <w:numId w:val="2"/>
        </w:numPr>
        <w:spacing w:after="0" w:line="240" w:lineRule="auto"/>
        <w:ind w:hanging="253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>Field trips</w:t>
      </w:r>
      <w:r w:rsidRPr="00B7519E">
        <w:rPr>
          <w:rFonts w:ascii="MS Gothic" w:eastAsia="MS Gothic" w:hAnsi="MS Gothic" w:cs="MS Gothic" w:hint="eastAsia"/>
          <w:sz w:val="20"/>
          <w:szCs w:val="20"/>
        </w:rPr>
        <w:t> </w:t>
      </w:r>
    </w:p>
    <w:p w14:paraId="4B43F270" w14:textId="77777777" w:rsidR="00820751" w:rsidRDefault="00820751" w:rsidP="009723F6">
      <w:pPr>
        <w:spacing w:after="0" w:line="240" w:lineRule="auto"/>
        <w:rPr>
          <w:rFonts w:ascii="MS Gothic" w:eastAsia="MS Gothic" w:hAnsi="MS Gothic" w:cs="MS Gothic"/>
          <w:sz w:val="20"/>
          <w:szCs w:val="20"/>
        </w:rPr>
        <w:sectPr w:rsidR="00820751" w:rsidSect="00820751">
          <w:type w:val="continuous"/>
          <w:pgSz w:w="12240" w:h="15840"/>
          <w:pgMar w:top="680" w:right="787" w:bottom="1206" w:left="720" w:header="720" w:footer="861" w:gutter="0"/>
          <w:cols w:num="2" w:space="720"/>
          <w:titlePg/>
          <w:docGrid w:linePitch="326"/>
        </w:sectPr>
      </w:pPr>
    </w:p>
    <w:p w14:paraId="036D9A5E" w14:textId="751F426B" w:rsidR="009723F6" w:rsidRDefault="009723F6" w:rsidP="009723F6">
      <w:pPr>
        <w:spacing w:after="0" w:line="240" w:lineRule="auto"/>
        <w:rPr>
          <w:rFonts w:ascii="MS Gothic" w:eastAsia="MS Gothic" w:hAnsi="MS Gothic" w:cs="MS Gothic"/>
          <w:sz w:val="20"/>
          <w:szCs w:val="20"/>
        </w:rPr>
      </w:pPr>
    </w:p>
    <w:p w14:paraId="6EA1045D" w14:textId="77777777" w:rsidR="009723F6" w:rsidRPr="00B7519E" w:rsidRDefault="009723F6" w:rsidP="009723F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FBE40B" w14:textId="176F2CB6" w:rsidR="00BC1E2A" w:rsidRPr="00B7519E" w:rsidRDefault="007B3CF2" w:rsidP="00820751">
      <w:pPr>
        <w:pStyle w:val="Heading1"/>
        <w:spacing w:after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 xml:space="preserve">Classroom Expectations </w:t>
      </w:r>
    </w:p>
    <w:p w14:paraId="3344D537" w14:textId="3880DF99" w:rsidR="0099378A" w:rsidRDefault="007B3CF2" w:rsidP="00820751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t>All students are expected to participate fully, to the best of their ability, in all class activities.  This includes class discussions, lab experiments and dissections, field trips, projects, maintenance of a lab journal, and other class assignments.  Eve</w:t>
      </w:r>
      <w:r w:rsidRPr="00B7519E">
        <w:rPr>
          <w:rFonts w:asciiTheme="majorHAnsi" w:hAnsiTheme="majorHAnsi" w:cstheme="majorHAnsi"/>
          <w:sz w:val="20"/>
          <w:szCs w:val="20"/>
        </w:rPr>
        <w:t xml:space="preserve">ry class member is expected to treat every class member, course materials and specimens, and class guests with the utmost respect.  Honesty and integrity </w:t>
      </w:r>
      <w:proofErr w:type="gramStart"/>
      <w:r w:rsidRPr="00B7519E">
        <w:rPr>
          <w:rFonts w:asciiTheme="majorHAnsi" w:hAnsiTheme="majorHAnsi" w:cstheme="majorHAnsi"/>
          <w:sz w:val="20"/>
          <w:szCs w:val="20"/>
        </w:rPr>
        <w:t>is</w:t>
      </w:r>
      <w:proofErr w:type="gramEnd"/>
      <w:r w:rsidRPr="00B7519E">
        <w:rPr>
          <w:rFonts w:asciiTheme="majorHAnsi" w:hAnsiTheme="majorHAnsi" w:cstheme="majorHAnsi"/>
          <w:sz w:val="20"/>
          <w:szCs w:val="20"/>
        </w:rPr>
        <w:t xml:space="preserve"> expected of everyone; failure to maintain an honest work ethic will result in disciplinary action. </w:t>
      </w:r>
    </w:p>
    <w:p w14:paraId="430EB6CA" w14:textId="77777777" w:rsidR="00820751" w:rsidRDefault="00820751" w:rsidP="00820751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7B8B91CE" w14:textId="2E9FBAFD" w:rsidR="0099378A" w:rsidRPr="000828B4" w:rsidRDefault="007B3CF2" w:rsidP="000828B4">
      <w:pPr>
        <w:pStyle w:val="Heading1"/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  <w:r w:rsidRPr="00B7519E">
        <w:rPr>
          <w:rFonts w:asciiTheme="majorHAnsi" w:hAnsiTheme="majorHAnsi" w:cstheme="majorHAnsi"/>
          <w:sz w:val="20"/>
          <w:szCs w:val="20"/>
        </w:rPr>
        <w:lastRenderedPageBreak/>
        <w:t>Scope and Sequence</w:t>
      </w:r>
    </w:p>
    <w:tbl>
      <w:tblPr>
        <w:tblStyle w:val="TableGrid"/>
        <w:tblW w:w="799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50"/>
        <w:gridCol w:w="4393"/>
      </w:tblGrid>
      <w:tr w:rsidR="00BC1E2A" w:rsidRPr="00B7519E" w14:paraId="389A380A" w14:textId="77777777" w:rsidTr="000828B4">
        <w:trPr>
          <w:trHeight w:val="254"/>
          <w:jc w:val="center"/>
        </w:trPr>
        <w:tc>
          <w:tcPr>
            <w:tcW w:w="3050" w:type="dxa"/>
          </w:tcPr>
          <w:p w14:paraId="26E32375" w14:textId="1765F81F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Introduction to 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Human Body</w:t>
            </w:r>
          </w:p>
        </w:tc>
        <w:tc>
          <w:tcPr>
            <w:tcW w:w="550" w:type="dxa"/>
          </w:tcPr>
          <w:p w14:paraId="72D3F51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486DD53C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Anatomical terminology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5BDF65D2" w14:textId="77777777" w:rsidTr="000828B4">
        <w:trPr>
          <w:trHeight w:val="273"/>
          <w:jc w:val="center"/>
        </w:trPr>
        <w:tc>
          <w:tcPr>
            <w:tcW w:w="3050" w:type="dxa"/>
          </w:tcPr>
          <w:p w14:paraId="0F6497ED" w14:textId="483D4667" w:rsidR="00BC1E2A" w:rsidRPr="00B7519E" w:rsidRDefault="00BC1E2A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250CB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25662D2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Homeostasis &amp; Biochemistry </w:t>
            </w:r>
          </w:p>
        </w:tc>
      </w:tr>
      <w:tr w:rsidR="00BC1E2A" w:rsidRPr="00B7519E" w14:paraId="5195BC8D" w14:textId="77777777" w:rsidTr="000828B4">
        <w:trPr>
          <w:trHeight w:val="260"/>
          <w:jc w:val="center"/>
        </w:trPr>
        <w:tc>
          <w:tcPr>
            <w:tcW w:w="3050" w:type="dxa"/>
          </w:tcPr>
          <w:p w14:paraId="245200A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78EFFEE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2A13B865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Cellular organization </w:t>
            </w:r>
          </w:p>
        </w:tc>
      </w:tr>
      <w:tr w:rsidR="00BC1E2A" w:rsidRPr="00B7519E" w14:paraId="501F3385" w14:textId="77777777" w:rsidTr="000828B4">
        <w:trPr>
          <w:trHeight w:val="260"/>
          <w:jc w:val="center"/>
        </w:trPr>
        <w:tc>
          <w:tcPr>
            <w:tcW w:w="3050" w:type="dxa"/>
          </w:tcPr>
          <w:p w14:paraId="786F6076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63D476A4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68D86172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Tissue organization </w:t>
            </w:r>
          </w:p>
        </w:tc>
      </w:tr>
      <w:tr w:rsidR="00BC1E2A" w:rsidRPr="00B7519E" w14:paraId="5827318E" w14:textId="77777777" w:rsidTr="000828B4">
        <w:trPr>
          <w:trHeight w:val="267"/>
          <w:jc w:val="center"/>
        </w:trPr>
        <w:tc>
          <w:tcPr>
            <w:tcW w:w="3050" w:type="dxa"/>
          </w:tcPr>
          <w:p w14:paraId="58085EB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5427684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06D9448B" w14:textId="77777777" w:rsidR="00BC1E2A" w:rsidRPr="00B7519E" w:rsidRDefault="00BC1E2A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1E2A" w:rsidRPr="00B7519E" w14:paraId="1BCE4370" w14:textId="77777777" w:rsidTr="000828B4">
        <w:trPr>
          <w:trHeight w:val="273"/>
          <w:jc w:val="center"/>
        </w:trPr>
        <w:tc>
          <w:tcPr>
            <w:tcW w:w="3050" w:type="dxa"/>
          </w:tcPr>
          <w:p w14:paraId="72A5031A" w14:textId="72283C2E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>Integumentary System</w:t>
            </w:r>
            <w:r w:rsidR="007B3CF2"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3F74F99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0597636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Structure, function, development, &amp; aging  </w:t>
            </w:r>
          </w:p>
        </w:tc>
      </w:tr>
      <w:tr w:rsidR="00BC1E2A" w:rsidRPr="00B7519E" w14:paraId="503E5403" w14:textId="77777777" w:rsidTr="000828B4">
        <w:trPr>
          <w:trHeight w:val="267"/>
          <w:jc w:val="center"/>
        </w:trPr>
        <w:tc>
          <w:tcPr>
            <w:tcW w:w="3050" w:type="dxa"/>
          </w:tcPr>
          <w:p w14:paraId="52FDD64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6F137E7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59E8BA42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C1E2A" w:rsidRPr="00B7519E" w14:paraId="231FC2FF" w14:textId="77777777" w:rsidTr="000828B4">
        <w:trPr>
          <w:trHeight w:val="273"/>
          <w:jc w:val="center"/>
        </w:trPr>
        <w:tc>
          <w:tcPr>
            <w:tcW w:w="3050" w:type="dxa"/>
          </w:tcPr>
          <w:p w14:paraId="0229CF5C" w14:textId="6CE2347E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>Skeletal System</w:t>
            </w:r>
            <w:r w:rsidR="007B3CF2"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1904AED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63B49E0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Bone structure, function, development, &amp; aging </w:t>
            </w:r>
          </w:p>
        </w:tc>
      </w:tr>
      <w:tr w:rsidR="00BC1E2A" w:rsidRPr="00B7519E" w14:paraId="4E70D9D3" w14:textId="77777777" w:rsidTr="000828B4">
        <w:trPr>
          <w:trHeight w:val="260"/>
          <w:jc w:val="center"/>
        </w:trPr>
        <w:tc>
          <w:tcPr>
            <w:tcW w:w="3050" w:type="dxa"/>
          </w:tcPr>
          <w:p w14:paraId="1488708E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5152A8B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6B203A7E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Axial skeleton </w:t>
            </w:r>
          </w:p>
        </w:tc>
      </w:tr>
      <w:tr w:rsidR="00BC1E2A" w:rsidRPr="00B7519E" w14:paraId="0648186E" w14:textId="77777777" w:rsidTr="000828B4">
        <w:trPr>
          <w:trHeight w:val="260"/>
          <w:jc w:val="center"/>
        </w:trPr>
        <w:tc>
          <w:tcPr>
            <w:tcW w:w="3050" w:type="dxa"/>
          </w:tcPr>
          <w:p w14:paraId="5A615CC7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64311210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498ECC80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Appendicular skeleton </w:t>
            </w:r>
          </w:p>
        </w:tc>
      </w:tr>
      <w:tr w:rsidR="00BC1E2A" w:rsidRPr="00B7519E" w14:paraId="0853370F" w14:textId="77777777" w:rsidTr="000828B4">
        <w:trPr>
          <w:trHeight w:val="397"/>
          <w:jc w:val="center"/>
        </w:trPr>
        <w:tc>
          <w:tcPr>
            <w:tcW w:w="3050" w:type="dxa"/>
          </w:tcPr>
          <w:p w14:paraId="16DDE3D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597A8B9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4D49190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Joints </w:t>
            </w:r>
          </w:p>
        </w:tc>
      </w:tr>
      <w:tr w:rsidR="00BC1E2A" w:rsidRPr="00B7519E" w14:paraId="49A50D07" w14:textId="77777777" w:rsidTr="000828B4">
        <w:trPr>
          <w:trHeight w:val="400"/>
          <w:jc w:val="center"/>
        </w:trPr>
        <w:tc>
          <w:tcPr>
            <w:tcW w:w="3050" w:type="dxa"/>
            <w:vAlign w:val="bottom"/>
          </w:tcPr>
          <w:p w14:paraId="7B73EF6C" w14:textId="42EFD486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Muscular System </w:t>
            </w:r>
          </w:p>
        </w:tc>
        <w:tc>
          <w:tcPr>
            <w:tcW w:w="550" w:type="dxa"/>
            <w:vAlign w:val="bottom"/>
          </w:tcPr>
          <w:p w14:paraId="29B4EC2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bottom"/>
          </w:tcPr>
          <w:p w14:paraId="1CD59AEC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Muscular tissue structure  </w:t>
            </w:r>
          </w:p>
        </w:tc>
      </w:tr>
      <w:tr w:rsidR="00BC1E2A" w:rsidRPr="00B7519E" w14:paraId="1A64DD20" w14:textId="77777777" w:rsidTr="000828B4">
        <w:trPr>
          <w:trHeight w:val="410"/>
          <w:jc w:val="center"/>
        </w:trPr>
        <w:tc>
          <w:tcPr>
            <w:tcW w:w="3050" w:type="dxa"/>
          </w:tcPr>
          <w:p w14:paraId="5BF18F59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5D151FF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0E77863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Muscular system movement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18D6F0E7" w14:textId="77777777" w:rsidTr="000828B4">
        <w:trPr>
          <w:trHeight w:val="413"/>
          <w:jc w:val="center"/>
        </w:trPr>
        <w:tc>
          <w:tcPr>
            <w:tcW w:w="3050" w:type="dxa"/>
            <w:vAlign w:val="bottom"/>
          </w:tcPr>
          <w:p w14:paraId="2A83D2BE" w14:textId="1C0E69D8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Nervous System </w:t>
            </w:r>
          </w:p>
        </w:tc>
        <w:tc>
          <w:tcPr>
            <w:tcW w:w="550" w:type="dxa"/>
            <w:vAlign w:val="bottom"/>
          </w:tcPr>
          <w:p w14:paraId="1E388CC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bottom"/>
          </w:tcPr>
          <w:p w14:paraId="7A7C97C2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Nervous tissue &amp; signaling </w:t>
            </w:r>
          </w:p>
        </w:tc>
      </w:tr>
      <w:tr w:rsidR="00BC1E2A" w:rsidRPr="00B7519E" w14:paraId="61CA2906" w14:textId="77777777" w:rsidTr="000828B4">
        <w:trPr>
          <w:trHeight w:val="260"/>
          <w:jc w:val="center"/>
        </w:trPr>
        <w:tc>
          <w:tcPr>
            <w:tcW w:w="3050" w:type="dxa"/>
          </w:tcPr>
          <w:p w14:paraId="08E4987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44BA298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34D81C80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Spinal cord &amp; spinal nerves </w:t>
            </w:r>
          </w:p>
        </w:tc>
      </w:tr>
      <w:tr w:rsidR="00BC1E2A" w:rsidRPr="00B7519E" w14:paraId="46F90202" w14:textId="77777777" w:rsidTr="000828B4">
        <w:trPr>
          <w:trHeight w:val="260"/>
          <w:jc w:val="center"/>
        </w:trPr>
        <w:tc>
          <w:tcPr>
            <w:tcW w:w="3050" w:type="dxa"/>
          </w:tcPr>
          <w:p w14:paraId="2394B2C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1A9C6AB2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7DB5EAAE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Brain &amp; cranial nerves </w:t>
            </w:r>
          </w:p>
        </w:tc>
      </w:tr>
      <w:tr w:rsidR="00BC1E2A" w:rsidRPr="00B7519E" w14:paraId="66D28BBD" w14:textId="77777777" w:rsidTr="000828B4">
        <w:trPr>
          <w:trHeight w:val="260"/>
          <w:jc w:val="center"/>
        </w:trPr>
        <w:tc>
          <w:tcPr>
            <w:tcW w:w="3050" w:type="dxa"/>
          </w:tcPr>
          <w:p w14:paraId="59CED6AC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6F0E7D6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19EE522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Autonomic nervous system </w:t>
            </w:r>
          </w:p>
        </w:tc>
      </w:tr>
      <w:tr w:rsidR="00BC1E2A" w:rsidRPr="00B7519E" w14:paraId="634105F8" w14:textId="77777777" w:rsidTr="000828B4">
        <w:trPr>
          <w:trHeight w:val="257"/>
          <w:jc w:val="center"/>
        </w:trPr>
        <w:tc>
          <w:tcPr>
            <w:tcW w:w="3050" w:type="dxa"/>
          </w:tcPr>
          <w:p w14:paraId="3647CF3E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7BE6417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4B6B023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Sensory, motor, &amp; integrative systems </w:t>
            </w:r>
          </w:p>
        </w:tc>
      </w:tr>
      <w:tr w:rsidR="00BC1E2A" w:rsidRPr="00B7519E" w14:paraId="1534A1F8" w14:textId="77777777" w:rsidTr="000828B4">
        <w:trPr>
          <w:trHeight w:val="410"/>
          <w:jc w:val="center"/>
        </w:trPr>
        <w:tc>
          <w:tcPr>
            <w:tcW w:w="3050" w:type="dxa"/>
          </w:tcPr>
          <w:p w14:paraId="508EDCF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13BF38A9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29ED71D4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Senses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276AACCA" w14:textId="77777777" w:rsidTr="000828B4">
        <w:trPr>
          <w:trHeight w:val="560"/>
          <w:jc w:val="center"/>
        </w:trPr>
        <w:tc>
          <w:tcPr>
            <w:tcW w:w="3050" w:type="dxa"/>
            <w:vAlign w:val="center"/>
          </w:tcPr>
          <w:p w14:paraId="1F36534E" w14:textId="22D74F96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Endocrine System </w:t>
            </w:r>
          </w:p>
        </w:tc>
        <w:tc>
          <w:tcPr>
            <w:tcW w:w="550" w:type="dxa"/>
            <w:vAlign w:val="center"/>
          </w:tcPr>
          <w:p w14:paraId="02269142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14:paraId="1C9F541D" w14:textId="77777777" w:rsidR="00BC1E2A" w:rsidRPr="00B7519E" w:rsidRDefault="007B3CF2" w:rsidP="00B7519E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Endocrine structure, function, development, &amp; aging </w:t>
            </w:r>
          </w:p>
        </w:tc>
      </w:tr>
      <w:tr w:rsidR="00BC1E2A" w:rsidRPr="00B7519E" w14:paraId="5DEC5217" w14:textId="77777777" w:rsidTr="000828B4">
        <w:trPr>
          <w:trHeight w:val="413"/>
          <w:jc w:val="center"/>
        </w:trPr>
        <w:tc>
          <w:tcPr>
            <w:tcW w:w="3050" w:type="dxa"/>
            <w:vAlign w:val="bottom"/>
          </w:tcPr>
          <w:p w14:paraId="42737A1B" w14:textId="61138D4F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Reproductive System </w:t>
            </w:r>
          </w:p>
        </w:tc>
        <w:tc>
          <w:tcPr>
            <w:tcW w:w="550" w:type="dxa"/>
            <w:vAlign w:val="bottom"/>
          </w:tcPr>
          <w:p w14:paraId="6320248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bottom"/>
          </w:tcPr>
          <w:p w14:paraId="6326ADF4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Male &amp; female reproductive structure </w:t>
            </w:r>
          </w:p>
        </w:tc>
      </w:tr>
      <w:tr w:rsidR="00BC1E2A" w:rsidRPr="00B7519E" w14:paraId="1EC1F013" w14:textId="77777777" w:rsidTr="000828B4">
        <w:trPr>
          <w:trHeight w:val="260"/>
          <w:jc w:val="center"/>
        </w:trPr>
        <w:tc>
          <w:tcPr>
            <w:tcW w:w="3050" w:type="dxa"/>
          </w:tcPr>
          <w:p w14:paraId="4E161E2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418F002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2604BC8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Human reproduction </w:t>
            </w:r>
          </w:p>
        </w:tc>
      </w:tr>
      <w:tr w:rsidR="00BC1E2A" w:rsidRPr="00B7519E" w14:paraId="4217075B" w14:textId="77777777" w:rsidTr="000828B4">
        <w:trPr>
          <w:trHeight w:val="257"/>
          <w:jc w:val="center"/>
        </w:trPr>
        <w:tc>
          <w:tcPr>
            <w:tcW w:w="3050" w:type="dxa"/>
          </w:tcPr>
          <w:p w14:paraId="1123B8A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226EED6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1495638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Development &amp; inheritance </w:t>
            </w:r>
          </w:p>
        </w:tc>
      </w:tr>
      <w:tr w:rsidR="00BC1E2A" w:rsidRPr="00B7519E" w14:paraId="5970CA35" w14:textId="77777777" w:rsidTr="000828B4">
        <w:trPr>
          <w:trHeight w:val="270"/>
          <w:jc w:val="center"/>
        </w:trPr>
        <w:tc>
          <w:tcPr>
            <w:tcW w:w="3050" w:type="dxa"/>
          </w:tcPr>
          <w:p w14:paraId="0882107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00BD857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01B6B600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15FA1E25" w14:textId="77777777" w:rsidTr="000828B4">
        <w:trPr>
          <w:trHeight w:val="273"/>
          <w:jc w:val="center"/>
        </w:trPr>
        <w:tc>
          <w:tcPr>
            <w:tcW w:w="3050" w:type="dxa"/>
          </w:tcPr>
          <w:p w14:paraId="570A3F09" w14:textId="386FD8F0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Cardiovascular System </w:t>
            </w:r>
          </w:p>
        </w:tc>
        <w:tc>
          <w:tcPr>
            <w:tcW w:w="550" w:type="dxa"/>
          </w:tcPr>
          <w:p w14:paraId="3F211D74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7473B52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Blood structure &amp; function </w:t>
            </w:r>
          </w:p>
        </w:tc>
      </w:tr>
      <w:tr w:rsidR="00BC1E2A" w:rsidRPr="00B7519E" w14:paraId="25CED065" w14:textId="77777777" w:rsidTr="000828B4">
        <w:trPr>
          <w:trHeight w:val="257"/>
          <w:jc w:val="center"/>
        </w:trPr>
        <w:tc>
          <w:tcPr>
            <w:tcW w:w="3050" w:type="dxa"/>
          </w:tcPr>
          <w:p w14:paraId="37633E18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7551F196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63AE03A6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Heart structure &amp; function </w:t>
            </w:r>
          </w:p>
        </w:tc>
      </w:tr>
      <w:tr w:rsidR="00BC1E2A" w:rsidRPr="00B7519E" w14:paraId="212A8738" w14:textId="77777777" w:rsidTr="000828B4">
        <w:trPr>
          <w:trHeight w:val="410"/>
          <w:jc w:val="center"/>
        </w:trPr>
        <w:tc>
          <w:tcPr>
            <w:tcW w:w="3050" w:type="dxa"/>
          </w:tcPr>
          <w:p w14:paraId="0A1D8B69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2A79F105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2320174C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Blood vessels &amp; circulation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72D26A95" w14:textId="77777777" w:rsidTr="000828B4">
        <w:trPr>
          <w:trHeight w:val="560"/>
          <w:jc w:val="center"/>
        </w:trPr>
        <w:tc>
          <w:tcPr>
            <w:tcW w:w="3050" w:type="dxa"/>
            <w:vAlign w:val="center"/>
          </w:tcPr>
          <w:p w14:paraId="77922331" w14:textId="5F7068EA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Respiratory System </w:t>
            </w:r>
          </w:p>
        </w:tc>
        <w:tc>
          <w:tcPr>
            <w:tcW w:w="550" w:type="dxa"/>
            <w:vAlign w:val="center"/>
          </w:tcPr>
          <w:p w14:paraId="3C5D0351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center"/>
          </w:tcPr>
          <w:p w14:paraId="5754FF49" w14:textId="77777777" w:rsidR="00BC1E2A" w:rsidRPr="00B7519E" w:rsidRDefault="007B3CF2" w:rsidP="00B7519E">
            <w:pPr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Respiratory structure, function, development, &amp; aging </w:t>
            </w:r>
          </w:p>
        </w:tc>
      </w:tr>
      <w:tr w:rsidR="00BC1E2A" w:rsidRPr="00B7519E" w14:paraId="7AA6E40B" w14:textId="77777777" w:rsidTr="000828B4">
        <w:trPr>
          <w:trHeight w:val="420"/>
          <w:jc w:val="center"/>
        </w:trPr>
        <w:tc>
          <w:tcPr>
            <w:tcW w:w="3050" w:type="dxa"/>
            <w:vAlign w:val="bottom"/>
          </w:tcPr>
          <w:p w14:paraId="0D4FD8E2" w14:textId="5CBC032A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Lymphatic System </w:t>
            </w:r>
          </w:p>
        </w:tc>
        <w:tc>
          <w:tcPr>
            <w:tcW w:w="550" w:type="dxa"/>
            <w:vAlign w:val="bottom"/>
          </w:tcPr>
          <w:p w14:paraId="4B40083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  <w:vAlign w:val="bottom"/>
          </w:tcPr>
          <w:p w14:paraId="728886C3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Lymphatic structure &amp; development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40E04EE2" w14:textId="77777777" w:rsidTr="000828B4">
        <w:trPr>
          <w:trHeight w:val="280"/>
          <w:jc w:val="center"/>
        </w:trPr>
        <w:tc>
          <w:tcPr>
            <w:tcW w:w="3050" w:type="dxa"/>
          </w:tcPr>
          <w:p w14:paraId="6F8767E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38AA67D5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7C5E188A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>Immunity</w:t>
            </w: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BC1E2A" w:rsidRPr="00B7519E" w14:paraId="526B828F" w14:textId="77777777" w:rsidTr="000828B4">
        <w:trPr>
          <w:trHeight w:val="273"/>
          <w:jc w:val="center"/>
        </w:trPr>
        <w:tc>
          <w:tcPr>
            <w:tcW w:w="3050" w:type="dxa"/>
          </w:tcPr>
          <w:p w14:paraId="783F0B8A" w14:textId="130F36C2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>Urinary System</w:t>
            </w:r>
            <w:r w:rsidR="007B3CF2"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25AAAC5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1FA32FBF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Urinary structure, function, development, &amp; aging </w:t>
            </w:r>
          </w:p>
        </w:tc>
      </w:tr>
      <w:tr w:rsidR="00BC1E2A" w:rsidRPr="00B7519E" w14:paraId="6CC0A4F3" w14:textId="77777777" w:rsidTr="000828B4">
        <w:trPr>
          <w:trHeight w:val="260"/>
          <w:jc w:val="center"/>
        </w:trPr>
        <w:tc>
          <w:tcPr>
            <w:tcW w:w="3050" w:type="dxa"/>
          </w:tcPr>
          <w:p w14:paraId="017C8F6E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22971C85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4393" w:type="dxa"/>
          </w:tcPr>
          <w:p w14:paraId="1A2DDE94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Fluid, electrolyte, &amp; acid-base homeostasis </w:t>
            </w:r>
          </w:p>
        </w:tc>
      </w:tr>
      <w:tr w:rsidR="00BC1E2A" w:rsidRPr="00B7519E" w14:paraId="2033DAF6" w14:textId="77777777" w:rsidTr="000828B4">
        <w:trPr>
          <w:trHeight w:val="267"/>
          <w:jc w:val="center"/>
        </w:trPr>
        <w:tc>
          <w:tcPr>
            <w:tcW w:w="3050" w:type="dxa"/>
          </w:tcPr>
          <w:p w14:paraId="3584E3EB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</w:tcPr>
          <w:p w14:paraId="46288450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1B68D804" w14:textId="77777777" w:rsidR="00BC1E2A" w:rsidRPr="00B7519E" w:rsidRDefault="00BC1E2A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1E2A" w:rsidRPr="00B7519E" w14:paraId="404B3BDB" w14:textId="77777777" w:rsidTr="000828B4">
        <w:trPr>
          <w:trHeight w:val="273"/>
          <w:jc w:val="center"/>
        </w:trPr>
        <w:tc>
          <w:tcPr>
            <w:tcW w:w="3050" w:type="dxa"/>
          </w:tcPr>
          <w:p w14:paraId="0063CA1D" w14:textId="70D89F51" w:rsidR="00BC1E2A" w:rsidRPr="00B7519E" w:rsidRDefault="000828B4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7B3CF2"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Digestive System </w:t>
            </w:r>
          </w:p>
        </w:tc>
        <w:tc>
          <w:tcPr>
            <w:tcW w:w="550" w:type="dxa"/>
          </w:tcPr>
          <w:p w14:paraId="0F4D7D99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2AD81FD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Digestive structure, function, development, &amp; aging </w:t>
            </w:r>
          </w:p>
        </w:tc>
      </w:tr>
      <w:tr w:rsidR="00BC1E2A" w:rsidRPr="00B7519E" w14:paraId="77FCBBB8" w14:textId="77777777" w:rsidTr="000828B4">
        <w:trPr>
          <w:trHeight w:val="242"/>
          <w:jc w:val="center"/>
        </w:trPr>
        <w:tc>
          <w:tcPr>
            <w:tcW w:w="3050" w:type="dxa"/>
          </w:tcPr>
          <w:p w14:paraId="2144130F" w14:textId="0176CF33" w:rsidR="00BC1E2A" w:rsidRPr="00B7519E" w:rsidRDefault="007B3CF2" w:rsidP="00B7519E">
            <w:pPr>
              <w:tabs>
                <w:tab w:val="center" w:pos="1080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7519E" w:rsidRPr="00B7519E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550" w:type="dxa"/>
          </w:tcPr>
          <w:p w14:paraId="4B9BD966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93" w:type="dxa"/>
          </w:tcPr>
          <w:p w14:paraId="34F00BAD" w14:textId="77777777" w:rsidR="00BC1E2A" w:rsidRPr="00B7519E" w:rsidRDefault="007B3CF2" w:rsidP="00B7519E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B7519E">
              <w:rPr>
                <w:rFonts w:asciiTheme="majorHAnsi" w:hAnsiTheme="majorHAnsi" w:cstheme="majorHAnsi"/>
                <w:sz w:val="20"/>
                <w:szCs w:val="20"/>
              </w:rPr>
              <w:t xml:space="preserve">Metabolism &amp; nutrition </w:t>
            </w:r>
          </w:p>
        </w:tc>
      </w:tr>
    </w:tbl>
    <w:p w14:paraId="6CA5D59B" w14:textId="6BD90D86" w:rsidR="00BC1E2A" w:rsidRDefault="00BC1E2A" w:rsidP="00B7519E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00E8CB90" w14:textId="7DD60CC7" w:rsidR="00B7519E" w:rsidRDefault="00B7519E" w:rsidP="00B7519E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17B53AB6" w14:textId="1E9A2645" w:rsidR="00B7519E" w:rsidRDefault="00B7519E" w:rsidP="00B7519E">
      <w:pPr>
        <w:spacing w:after="0" w:line="240" w:lineRule="auto"/>
        <w:ind w:left="-5"/>
        <w:rPr>
          <w:rFonts w:asciiTheme="majorHAnsi" w:hAnsiTheme="majorHAnsi" w:cstheme="majorHAnsi"/>
          <w:sz w:val="20"/>
          <w:szCs w:val="20"/>
        </w:rPr>
      </w:pPr>
    </w:p>
    <w:p w14:paraId="1ABAE9DA" w14:textId="3DEC73BC" w:rsidR="00B7519E" w:rsidRPr="000828B4" w:rsidRDefault="00B7519E" w:rsidP="000828B4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b/>
          <w:bCs/>
          <w:color w:val="C00000"/>
        </w:rPr>
      </w:pPr>
      <w:r w:rsidRPr="004774DA">
        <w:rPr>
          <w:rFonts w:asciiTheme="majorHAnsi" w:hAnsiTheme="majorHAnsi" w:cstheme="majorHAnsi"/>
          <w:b/>
          <w:bCs/>
          <w:color w:val="C00000"/>
        </w:rPr>
        <w:t xml:space="preserve">STUDENTS &amp; PARENTS/GUARDIANS:  PLEASE ACKNOWLEDGE THAT YOU HAVE REVIEWED THIS COURSE DICSCLOSURE AND PROVIDE ADDITIONAL INFORMATION BY COMPLETING THE ACKNOWLEDGEMENT FORM ON CANVAS </w:t>
      </w:r>
      <w:r w:rsidRPr="004774DA">
        <w:rPr>
          <w:rFonts w:asciiTheme="majorHAnsi" w:hAnsiTheme="majorHAnsi" w:cstheme="majorHAnsi"/>
          <w:color w:val="C00000"/>
          <w:sz w:val="22"/>
          <w:szCs w:val="22"/>
        </w:rPr>
        <w:t>(</w:t>
      </w:r>
      <w:r w:rsidRPr="004774DA">
        <w:rPr>
          <w:rFonts w:asciiTheme="majorHAnsi" w:hAnsiTheme="majorHAnsi" w:cstheme="majorHAnsi"/>
          <w:i/>
          <w:iCs/>
          <w:color w:val="C00000"/>
          <w:sz w:val="22"/>
          <w:szCs w:val="22"/>
        </w:rPr>
        <w:t>“course disclosure form” assignment</w:t>
      </w:r>
      <w:r w:rsidRPr="004774DA">
        <w:rPr>
          <w:rFonts w:asciiTheme="majorHAnsi" w:hAnsiTheme="majorHAnsi" w:cstheme="majorHAnsi"/>
          <w:color w:val="C00000"/>
          <w:sz w:val="22"/>
          <w:szCs w:val="22"/>
        </w:rPr>
        <w:t>)</w:t>
      </w:r>
    </w:p>
    <w:sectPr w:rsidR="00B7519E" w:rsidRPr="000828B4" w:rsidSect="00820751">
      <w:type w:val="continuous"/>
      <w:pgSz w:w="12240" w:h="15840"/>
      <w:pgMar w:top="680" w:right="787" w:bottom="1206" w:left="720" w:header="720" w:footer="8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0A5B" w14:textId="77777777" w:rsidR="007B3CF2" w:rsidRDefault="007B3CF2">
      <w:pPr>
        <w:spacing w:after="0" w:line="240" w:lineRule="auto"/>
      </w:pPr>
      <w:r>
        <w:separator/>
      </w:r>
    </w:p>
  </w:endnote>
  <w:endnote w:type="continuationSeparator" w:id="0">
    <w:p w14:paraId="2AA78779" w14:textId="77777777" w:rsidR="007B3CF2" w:rsidRDefault="007B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5AEF" w14:textId="77777777" w:rsidR="00BC1E2A" w:rsidRDefault="007B3CF2">
    <w:pPr>
      <w:tabs>
        <w:tab w:val="center" w:pos="823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8"/>
      </w:rPr>
      <w:t>MAP, Course Syllabus 2017/2018</w:t>
    </w:r>
    <w:r>
      <w:rPr>
        <w:rFonts w:ascii="Arial" w:eastAsia="Arial" w:hAnsi="Arial" w:cs="Arial"/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7127" w14:textId="7D335E67" w:rsidR="00BC1E2A" w:rsidRDefault="007B3CF2">
    <w:pPr>
      <w:tabs>
        <w:tab w:val="center" w:pos="823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8"/>
      </w:rPr>
      <w:t xml:space="preserve">MAP, Course </w:t>
    </w:r>
    <w:r w:rsidR="00B7519E">
      <w:rPr>
        <w:rFonts w:ascii="Arial" w:eastAsia="Arial" w:hAnsi="Arial" w:cs="Arial"/>
        <w:b/>
        <w:sz w:val="18"/>
      </w:rPr>
      <w:t>Disclosure</w:t>
    </w:r>
    <w:r>
      <w:rPr>
        <w:rFonts w:ascii="Arial" w:eastAsia="Arial" w:hAnsi="Arial" w:cs="Arial"/>
        <w:b/>
        <w:sz w:val="18"/>
      </w:rPr>
      <w:t xml:space="preserve"> </w:t>
    </w:r>
    <w:r w:rsidR="00B7519E">
      <w:rPr>
        <w:rFonts w:ascii="Arial" w:eastAsia="Arial" w:hAnsi="Arial" w:cs="Arial"/>
        <w:b/>
        <w:sz w:val="18"/>
      </w:rPr>
      <w:t>2021/2022</w:t>
    </w:r>
    <w:r w:rsidR="000828B4">
      <w:rPr>
        <w:rFonts w:ascii="Arial" w:eastAsia="Arial" w:hAnsi="Arial" w:cs="Arial"/>
        <w:b/>
        <w:sz w:val="18"/>
      </w:rPr>
      <w:t xml:space="preserve">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B31F" w14:textId="77777777" w:rsidR="00BC1E2A" w:rsidRDefault="007B3CF2">
    <w:pPr>
      <w:tabs>
        <w:tab w:val="center" w:pos="8230"/>
      </w:tabs>
      <w:spacing w:after="0" w:line="259" w:lineRule="auto"/>
      <w:ind w:left="0" w:firstLine="0"/>
    </w:pPr>
    <w:r>
      <w:rPr>
        <w:rFonts w:ascii="Arial" w:eastAsia="Arial" w:hAnsi="Arial" w:cs="Arial"/>
        <w:b/>
        <w:sz w:val="18"/>
      </w:rPr>
      <w:t>MAP, Course Syllabus 2017/2018</w:t>
    </w:r>
    <w:r>
      <w:rPr>
        <w:rFonts w:ascii="Arial" w:eastAsia="Arial" w:hAnsi="Arial" w:cs="Arial"/>
        <w:b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C4D6" w14:textId="77777777" w:rsidR="007B3CF2" w:rsidRDefault="007B3CF2">
      <w:pPr>
        <w:spacing w:after="0" w:line="240" w:lineRule="auto"/>
      </w:pPr>
      <w:r>
        <w:separator/>
      </w:r>
    </w:p>
  </w:footnote>
  <w:footnote w:type="continuationSeparator" w:id="0">
    <w:p w14:paraId="62B88BFA" w14:textId="77777777" w:rsidR="007B3CF2" w:rsidRDefault="007B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04" w:type="dxa"/>
      <w:tblInd w:w="260" w:type="dxa"/>
      <w:tblBorders>
        <w:top w:val="single" w:sz="8" w:space="0" w:color="253D0E"/>
        <w:left w:val="single" w:sz="8" w:space="0" w:color="253D0E"/>
        <w:bottom w:val="single" w:sz="8" w:space="0" w:color="253D0E"/>
        <w:right w:val="single" w:sz="8" w:space="0" w:color="253D0E"/>
        <w:insideH w:val="single" w:sz="8" w:space="0" w:color="253D0E"/>
        <w:insideV w:val="single" w:sz="8" w:space="0" w:color="253D0E"/>
      </w:tblBorders>
      <w:tblCellMar>
        <w:top w:w="111" w:type="dxa"/>
        <w:left w:w="0" w:type="dxa"/>
        <w:bottom w:w="10" w:type="dxa"/>
        <w:right w:w="115" w:type="dxa"/>
      </w:tblCellMar>
      <w:tblLook w:val="04A0" w:firstRow="1" w:lastRow="0" w:firstColumn="1" w:lastColumn="0" w:noHBand="0" w:noVBand="1"/>
    </w:tblPr>
    <w:tblGrid>
      <w:gridCol w:w="10304"/>
    </w:tblGrid>
    <w:tr w:rsidR="0099378A" w:rsidRPr="00B7519E" w14:paraId="49C25234" w14:textId="77777777" w:rsidTr="0099378A">
      <w:trPr>
        <w:trHeight w:val="226"/>
      </w:trPr>
      <w:tc>
        <w:tcPr>
          <w:tcW w:w="10304" w:type="dxa"/>
          <w:shd w:val="clear" w:color="auto" w:fill="AC3D00"/>
        </w:tcPr>
        <w:p w14:paraId="03DD78FC" w14:textId="7041088A" w:rsidR="0099378A" w:rsidRDefault="0099378A" w:rsidP="0099378A">
          <w:pPr>
            <w:spacing w:after="0" w:line="240" w:lineRule="auto"/>
            <w:ind w:left="100" w:firstLine="0"/>
            <w:rPr>
              <w:rFonts w:asciiTheme="majorHAnsi" w:eastAsia="Arial" w:hAnsiTheme="majorHAnsi" w:cstheme="majorHAnsi"/>
              <w:b/>
              <w:color w:val="FFFFFF"/>
              <w:sz w:val="20"/>
              <w:szCs w:val="20"/>
            </w:rPr>
          </w:pPr>
          <w:r>
            <w:rPr>
              <w:rFonts w:asciiTheme="majorHAnsi" w:eastAsia="Arial" w:hAnsiTheme="majorHAnsi" w:cstheme="majorHAnsi"/>
              <w:b/>
              <w:color w:val="FFFFFF"/>
              <w:sz w:val="20"/>
              <w:szCs w:val="20"/>
            </w:rPr>
            <w:t xml:space="preserve">Medical Anatomy &amp; Physiology  </w:t>
          </w:r>
        </w:p>
        <w:p w14:paraId="108CAE50" w14:textId="4E2662EE" w:rsidR="0099378A" w:rsidRPr="00B7519E" w:rsidRDefault="0099378A" w:rsidP="0099378A">
          <w:pPr>
            <w:spacing w:after="0" w:line="240" w:lineRule="auto"/>
            <w:ind w:left="0" w:firstLine="0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eastAsia="Arial" w:hAnsiTheme="majorHAnsi" w:cstheme="majorHAnsi"/>
              <w:b/>
              <w:color w:val="FFFFFF"/>
              <w:sz w:val="20"/>
              <w:szCs w:val="20"/>
            </w:rPr>
            <w:t xml:space="preserve">  </w:t>
          </w:r>
          <w:r w:rsidRPr="00B7519E">
            <w:rPr>
              <w:rFonts w:asciiTheme="majorHAnsi" w:eastAsia="Arial" w:hAnsiTheme="majorHAnsi" w:cstheme="majorHAnsi"/>
              <w:b/>
              <w:color w:val="FFFFFF"/>
              <w:sz w:val="20"/>
              <w:szCs w:val="20"/>
            </w:rPr>
            <w:t>20</w:t>
          </w:r>
          <w:r>
            <w:rPr>
              <w:rFonts w:asciiTheme="majorHAnsi" w:eastAsia="Arial" w:hAnsiTheme="majorHAnsi" w:cstheme="majorHAnsi"/>
              <w:b/>
              <w:color w:val="FFFFFF"/>
              <w:sz w:val="20"/>
              <w:szCs w:val="20"/>
            </w:rPr>
            <w:t>21/2022</w:t>
          </w:r>
        </w:p>
      </w:tc>
    </w:tr>
  </w:tbl>
  <w:p w14:paraId="79225544" w14:textId="77777777" w:rsidR="0099378A" w:rsidRDefault="0099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0A4"/>
    <w:multiLevelType w:val="hybridMultilevel"/>
    <w:tmpl w:val="F93C2C0A"/>
    <w:lvl w:ilvl="0" w:tplc="CC0C985E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8CD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7B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40F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43C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43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064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EC8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E3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A615F"/>
    <w:multiLevelType w:val="hybridMultilevel"/>
    <w:tmpl w:val="78E2F1AA"/>
    <w:lvl w:ilvl="0" w:tplc="CBDA2276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6E3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018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6E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43F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8C3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0E4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53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8A1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216B9"/>
    <w:multiLevelType w:val="hybridMultilevel"/>
    <w:tmpl w:val="BA96A75E"/>
    <w:lvl w:ilvl="0" w:tplc="33665E14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4D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CEE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89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83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6A6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266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07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77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E0064"/>
    <w:multiLevelType w:val="hybridMultilevel"/>
    <w:tmpl w:val="7884C4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2D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44F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AFD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27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24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56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96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C4B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151BB"/>
    <w:multiLevelType w:val="hybridMultilevel"/>
    <w:tmpl w:val="701EBE72"/>
    <w:lvl w:ilvl="0" w:tplc="A08A5D96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B7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AA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DF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54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005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8F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31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A0A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5C0A27"/>
    <w:multiLevelType w:val="hybridMultilevel"/>
    <w:tmpl w:val="609A6BA6"/>
    <w:lvl w:ilvl="0" w:tplc="2A148A2E">
      <w:start w:val="1"/>
      <w:numFmt w:val="bullet"/>
      <w:lvlText w:val="*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2D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44F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AFD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27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24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56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96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C4B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1494E"/>
    <w:multiLevelType w:val="hybridMultilevel"/>
    <w:tmpl w:val="EED278DA"/>
    <w:lvl w:ilvl="0" w:tplc="A12806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4C4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480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641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C71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E53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5D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3A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C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3E1060"/>
    <w:multiLevelType w:val="hybridMultilevel"/>
    <w:tmpl w:val="EDEAE668"/>
    <w:lvl w:ilvl="0" w:tplc="B8C6F320">
      <w:start w:val="1"/>
      <w:numFmt w:val="bullet"/>
      <w:lvlText w:val="•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42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C8C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0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6FC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003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4A9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267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C52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2A"/>
    <w:rsid w:val="000828B4"/>
    <w:rsid w:val="005A153E"/>
    <w:rsid w:val="007B3CF2"/>
    <w:rsid w:val="007B4050"/>
    <w:rsid w:val="00820751"/>
    <w:rsid w:val="008D68E8"/>
    <w:rsid w:val="009723F6"/>
    <w:rsid w:val="0099378A"/>
    <w:rsid w:val="00B7519E"/>
    <w:rsid w:val="00BC1E2A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373D2"/>
  <w15:docId w15:val="{A73F286B-48D9-1349-8E02-091B59E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1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8" w:line="265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syllabus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syllabus</dc:title>
  <dc:subject/>
  <dc:creator>Elizabeth Moretz</dc:creator>
  <cp:keywords/>
  <cp:lastModifiedBy>Elizabeth Moretz</cp:lastModifiedBy>
  <cp:revision>7</cp:revision>
  <dcterms:created xsi:type="dcterms:W3CDTF">2021-08-16T18:49:00Z</dcterms:created>
  <dcterms:modified xsi:type="dcterms:W3CDTF">2021-08-16T20:24:00Z</dcterms:modified>
</cp:coreProperties>
</file>